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A1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13 unità di personale in qualità di esperto e n. 13 unità di personale in qualità di tutor nei </w:t>
      </w:r>
      <w:r w:rsidDel="00000000" w:rsidR="00000000" w:rsidRPr="00000000">
        <w:rPr>
          <w:rtl w:val="0"/>
        </w:rPr>
        <w:t xml:space="preserve">percorsi di orientamento e formazione per il potenziamento delle competenze STEM, digitali e di innovazione</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185.0" w:type="dxa"/>
        <w:jc w:val="left"/>
        <w:tblInd w:w="30.0" w:type="dxa"/>
        <w:tblLayout w:type="fixed"/>
        <w:tblLook w:val="0400"/>
      </w:tblPr>
      <w:tblGrid>
        <w:gridCol w:w="5085"/>
        <w:gridCol w:w="5100"/>
        <w:tblGridChange w:id="0">
          <w:tblGrid>
            <w:gridCol w:w="5085"/>
            <w:gridCol w:w="5100"/>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40" w:lineRule="auto"/>
              <w:ind w:left="0" w:firstLine="0"/>
              <w:rPr>
                <w:sz w:val="20"/>
                <w:szCs w:val="20"/>
              </w:rPr>
            </w:pPr>
            <w:r w:rsidDel="00000000" w:rsidR="00000000" w:rsidRPr="00000000">
              <w:rPr>
                <w:sz w:val="20"/>
                <w:szCs w:val="20"/>
                <w:rtl w:val="0"/>
              </w:rPr>
              <w:t xml:space="preserve">Creazione e stampa di modelli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40" w:lineRule="auto"/>
              <w:ind w:left="0" w:firstLine="0"/>
              <w:rPr>
                <w:sz w:val="20"/>
                <w:szCs w:val="20"/>
              </w:rPr>
            </w:pPr>
            <w:r w:rsidDel="00000000" w:rsidR="00000000" w:rsidRPr="00000000">
              <w:rPr>
                <w:sz w:val="20"/>
                <w:szCs w:val="20"/>
                <w:rtl w:val="0"/>
              </w:rPr>
              <w:t xml:space="preserve">Laboratorio sulla realtà virtuale e aumentata (RVA)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9">
      <w:pPr>
        <w:spacing w:after="20" w:line="240" w:lineRule="auto"/>
        <w:jc w:val="both"/>
        <w:rPr/>
      </w:pPr>
      <w:r w:rsidDel="00000000" w:rsidR="00000000" w:rsidRPr="00000000">
        <w:rPr>
          <w:rtl w:val="0"/>
        </w:rPr>
      </w:r>
    </w:p>
    <w:p w:rsidR="00000000" w:rsidDel="00000000" w:rsidP="00000000" w:rsidRDefault="00000000" w:rsidRPr="00000000" w14:paraId="0000005A">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B">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C">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D">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E">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60">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61">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62">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63">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6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5">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6">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7">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0" r="1829" t="16140"/>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