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GentiumAlt" w:cs="GentiumAlt" w:eastAsia="GentiumAlt" w:hAnsi="GentiumAlt"/>
          <w:color w:val="000000"/>
          <w:sz w:val="28"/>
          <w:szCs w:val="28"/>
        </w:rPr>
      </w:pP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VERBALE n. </w:t>
      </w:r>
      <w:r w:rsidDel="00000000" w:rsidR="00000000" w:rsidRPr="00000000">
        <w:rPr>
          <w:rFonts w:ascii="GentiumAlt" w:cs="GentiumAlt" w:eastAsia="GentiumAlt" w:hAnsi="GentiumAlt"/>
          <w:b w:val="1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del Dipartimento di</w:t>
      </w:r>
      <w:r w:rsidDel="00000000" w:rsidR="00000000" w:rsidRPr="00000000">
        <w:rPr>
          <w:rFonts w:ascii="GentiumAlt" w:cs="GentiumAlt" w:eastAsia="GentiumAlt" w:hAnsi="GentiumAlt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ntiumAlt" w:cs="GentiumAlt" w:eastAsia="GentiumAlt" w:hAnsi="GentiumAlt"/>
          <w:b w:val="1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Anno scolastico 202</w:t>
      </w:r>
      <w:r w:rsidDel="00000000" w:rsidR="00000000" w:rsidRPr="00000000">
        <w:rPr>
          <w:rFonts w:ascii="GentiumAlt" w:cs="GentiumAlt" w:eastAsia="GentiumAlt" w:hAnsi="GentiumAlt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entiumAlt" w:cs="GentiumAlt" w:eastAsia="GentiumAlt" w:hAnsi="GentiumAlt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GentiumAlt" w:cs="GentiumAlt" w:eastAsia="GentiumAlt" w:hAnsi="GentiumAlt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jc w:val="center"/>
        <w:rPr>
          <w:rFonts w:ascii="GentiumAlt" w:cs="GentiumAlt" w:eastAsia="GentiumAlt" w:hAnsi="GentiumAl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Oggi 30 maggio 2025, alle ore 15:00, nei locali del Liceo “Coluccio Salutati” si riunisce in presenza il Dipartimento di _______________________ del Liceo Statale “Coluccio Salutati” di Montecatini Terme, come da regolare convocazione disposta da circolare della presidenza n. 373 del 21/08/2024, per discutere il seguente ordine del giorno:</w:t>
      </w:r>
    </w:p>
    <w:p w:rsidR="00000000" w:rsidDel="00000000" w:rsidP="00000000" w:rsidRDefault="00000000" w:rsidRPr="00000000" w14:paraId="0000000B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corsi ed esami di recupero a.s. 2024-25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line="276" w:lineRule="auto"/>
        <w:ind w:left="144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a. definizione degli obiettivi minimi dei contenuti disciplinari;</w:t>
      </w:r>
    </w:p>
    <w:p w:rsidR="00000000" w:rsidDel="00000000" w:rsidP="00000000" w:rsidRDefault="00000000" w:rsidRPr="00000000" w14:paraId="0000000E">
      <w:pPr>
        <w:spacing w:line="276" w:lineRule="auto"/>
        <w:ind w:left="1417.3228346456694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b. definizione dei criteri valutazione delle prove (peso ponderale prova scritte e prova orale);</w:t>
      </w:r>
    </w:p>
    <w:p w:rsidR="00000000" w:rsidDel="00000000" w:rsidP="00000000" w:rsidRDefault="00000000" w:rsidRPr="00000000" w14:paraId="0000000F">
      <w:pPr>
        <w:spacing w:line="276" w:lineRule="auto"/>
        <w:ind w:left="1417.3228346456694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c. predisposizione delle  griglie di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rFonts w:ascii="GentiumAlt" w:cs="GentiumAlt" w:eastAsia="GentiumAlt" w:hAnsi="GentiumAl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Presiede la riunione il coordinatore del dipartimento Prof.______________________.</w:t>
      </w:r>
    </w:p>
    <w:p w:rsidR="00000000" w:rsidDel="00000000" w:rsidP="00000000" w:rsidRDefault="00000000" w:rsidRPr="00000000" w14:paraId="00000012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Funge da Segretario il prof. ________________________.</w:t>
      </w:r>
    </w:p>
    <w:p w:rsidR="00000000" w:rsidDel="00000000" w:rsidP="00000000" w:rsidRDefault="00000000" w:rsidRPr="00000000" w14:paraId="00000013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Si procede alla rilevazione delle presenze dei docenti del Dipartimento: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GentiumAlt" w:cs="GentiumAlt" w:eastAsia="GentiumAlt" w:hAnsi="GentiumAl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2"/>
        <w:gridCol w:w="1134"/>
        <w:gridCol w:w="1134"/>
        <w:tblGridChange w:id="0">
          <w:tblGrid>
            <w:gridCol w:w="6012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Presente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b w:val="1"/>
                <w:sz w:val="20"/>
                <w:szCs w:val="20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rFonts w:ascii="GentiumAlt" w:cs="GentiumAlt" w:eastAsia="GentiumAlt" w:hAnsi="GentiumAl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GentiumAlt" w:cs="GentiumAlt" w:eastAsia="GentiumAlt" w:hAnsi="GentiumA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ind w:left="0" w:firstLine="0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Constatata la presenza del numero legale, si passa alla discussione dell’ordine del giorno.</w:t>
      </w:r>
    </w:p>
    <w:p w:rsidR="00000000" w:rsidDel="00000000" w:rsidP="00000000" w:rsidRDefault="00000000" w:rsidRPr="00000000" w14:paraId="00000035">
      <w:pPr>
        <w:spacing w:line="288" w:lineRule="auto"/>
        <w:jc w:val="both"/>
        <w:rPr>
          <w:rFonts w:ascii="GentiumAlt" w:cs="GentiumAlt" w:eastAsia="GentiumAlt" w:hAnsi="GentiumAl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1.A Definizione degli obiettivi minimi dei contenuti disciplinari;</w:t>
      </w:r>
    </w:p>
    <w:p w:rsidR="00000000" w:rsidDel="00000000" w:rsidP="00000000" w:rsidRDefault="00000000" w:rsidRPr="00000000" w14:paraId="00000037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3A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1.B Definizione dei criteri valutazione delle prove (peso ponderale prova scritte e prova orale)</w:t>
      </w:r>
    </w:p>
    <w:p w:rsidR="00000000" w:rsidDel="00000000" w:rsidP="00000000" w:rsidRDefault="00000000" w:rsidRPr="00000000" w14:paraId="0000003E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41">
      <w:pPr>
        <w:spacing w:line="276" w:lineRule="auto"/>
        <w:ind w:left="0" w:firstLine="72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GentiumAlt" w:cs="GentiumAlt" w:eastAsia="GentiumAlt" w:hAnsi="GentiumAlt"/>
          <w:b w:val="1"/>
          <w:rtl w:val="0"/>
        </w:rPr>
        <w:t xml:space="preserve">1.C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Predisposizione delle  griglie di valutazione</w:t>
      </w:r>
    </w:p>
    <w:p w:rsidR="00000000" w:rsidDel="00000000" w:rsidP="00000000" w:rsidRDefault="00000000" w:rsidRPr="00000000" w14:paraId="00000044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47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88" w:lineRule="auto"/>
        <w:ind w:left="720" w:firstLine="284.0000000000000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88" w:lineRule="auto"/>
        <w:ind w:firstLine="284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88" w:lineRule="auto"/>
        <w:ind w:left="0" w:firstLine="0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Dopo attenta valutazione, il Dipartimento approva all’unanimità il presente verbale.</w:t>
      </w:r>
    </w:p>
    <w:p w:rsidR="00000000" w:rsidDel="00000000" w:rsidP="00000000" w:rsidRDefault="00000000" w:rsidRPr="00000000" w14:paraId="0000004B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8" w:lineRule="auto"/>
        <w:jc w:val="both"/>
        <w:rPr>
          <w:rFonts w:ascii="GentiumAlt" w:cs="GentiumAlt" w:eastAsia="GentiumAlt" w:hAnsi="GentiumAlt"/>
          <w:highlight w:val="yellow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Esauriti i punti all’o.d.g., la seduta è tolta alle ore </w:t>
      </w:r>
      <w:r w:rsidDel="00000000" w:rsidR="00000000" w:rsidRPr="00000000">
        <w:rPr>
          <w:rFonts w:ascii="GentiumAlt" w:cs="GentiumAlt" w:eastAsia="GentiumAlt" w:hAnsi="GentiumAlt"/>
          <w:highlight w:val="yellow"/>
          <w:rtl w:val="0"/>
        </w:rPr>
        <w:t xml:space="preserve">XX:00.</w:t>
      </w:r>
    </w:p>
    <w:p w:rsidR="00000000" w:rsidDel="00000000" w:rsidP="00000000" w:rsidRDefault="00000000" w:rsidRPr="00000000" w14:paraId="0000004E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Fonts w:ascii="GentiumAlt" w:cs="GentiumAlt" w:eastAsia="GentiumAlt" w:hAnsi="GentiumAlt"/>
          <w:rtl w:val="0"/>
        </w:rPr>
        <w:t xml:space="preserve">Letto e sottoscritto</w:t>
      </w:r>
    </w:p>
    <w:p w:rsidR="00000000" w:rsidDel="00000000" w:rsidP="00000000" w:rsidRDefault="00000000" w:rsidRPr="00000000" w14:paraId="00000051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88" w:lineRule="auto"/>
              <w:jc w:val="left"/>
              <w:rPr>
                <w:rFonts w:ascii="GentiumAlt" w:cs="GentiumAlt" w:eastAsia="GentiumAlt" w:hAnsi="GentiumAlt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rtl w:val="0"/>
              </w:rPr>
              <w:t xml:space="preserve">Il Segretario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88" w:lineRule="auto"/>
              <w:ind w:left="-279.56692913385865" w:firstLine="0"/>
              <w:jc w:val="left"/>
              <w:rPr>
                <w:rFonts w:ascii="GentiumAlt" w:cs="GentiumAlt" w:eastAsia="GentiumAlt" w:hAnsi="GentiumAlt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rtl w:val="0"/>
              </w:rPr>
              <w:t xml:space="preserve">Il Presidente (Coordinatore del Dipartimento)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88" w:lineRule="auto"/>
              <w:jc w:val="left"/>
              <w:rPr>
                <w:rFonts w:ascii="GentiumAlt" w:cs="GentiumAlt" w:eastAsia="GentiumAlt" w:hAnsi="GentiumAlt"/>
                <w:i w:val="1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i w:val="1"/>
                <w:rtl w:val="0"/>
              </w:rPr>
              <w:t xml:space="preserve">Prof.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>
                <w:rFonts w:ascii="GentiumAlt" w:cs="GentiumAlt" w:eastAsia="GentiumAlt" w:hAnsi="GentiumAlt"/>
                <w:i w:val="1"/>
              </w:rPr>
            </w:pPr>
            <w:r w:rsidDel="00000000" w:rsidR="00000000" w:rsidRPr="00000000">
              <w:rPr>
                <w:rFonts w:ascii="GentiumAlt" w:cs="GentiumAlt" w:eastAsia="GentiumAlt" w:hAnsi="GentiumAlt"/>
                <w:i w:val="1"/>
                <w:rtl w:val="0"/>
              </w:rPr>
              <w:t xml:space="preserve">Prof. </w:t>
            </w:r>
          </w:p>
        </w:tc>
      </w:tr>
    </w:tbl>
    <w:p w:rsidR="00000000" w:rsidDel="00000000" w:rsidP="00000000" w:rsidRDefault="00000000" w:rsidRPr="00000000" w14:paraId="00000056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88" w:lineRule="auto"/>
        <w:jc w:val="both"/>
        <w:rPr>
          <w:rFonts w:ascii="GentiumAlt" w:cs="GentiumAlt" w:eastAsia="GentiumAlt" w:hAnsi="GentiumAl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BernhardTango BT"/>
  <w:font w:name="Gadugi"/>
  <w:font w:name="GentiumA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ntiumAlt" w:cs="GentiumAlt" w:eastAsia="GentiumAlt" w:hAnsi="GentiumAlt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65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rTXi+jeIHJP8u/u65l4JMvozQ==">CgMxLjA4AHIhMV9XaVhJLVdfZlBRNExkbnhGMzhUZUZUU2hCZ1hUNE56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