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PROGRAMMAZIONE ANNUALE </w:t>
        <w:tab/>
        <w:tab/>
        <w:tab/>
      </w:r>
    </w:p>
    <w:p w:rsidR="00000000" w:rsidDel="00000000" w:rsidP="00000000" w:rsidRDefault="00000000" w:rsidRPr="00000000" w14:paraId="00000002">
      <w:pPr>
        <w:rPr>
          <w:sz w:val="8"/>
          <w:szCs w:val="8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A.S. 20__/20__</w:t>
        <w:tab/>
        <w:t xml:space="preserve">Docente __________________  Disciplina di insegnamento ________________________ Classe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both"/>
        <w:rPr>
          <w:rFonts w:ascii="Times New Roman" w:cs="Times New Roman" w:eastAsia="Times New Roman" w:hAnsi="Times New Roman"/>
          <w:i w:val="1"/>
          <w:color w:val="ff0000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2"/>
          <w:szCs w:val="22"/>
          <w:rtl w:val="0"/>
        </w:rPr>
        <w:t xml:space="preserve">in riferimento alla programmazione di DIPARTIMENTO inserire le competenze disciplinari  come articolate negli obiettivi specifici di apprendimento (1° biennio- 2° biennio e 5° anno) rif. Indicazioni nazionali DPR 52/2013 Allegato A LSS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27.5"/>
        <w:gridCol w:w="7427.5"/>
        <w:tblGridChange w:id="0">
          <w:tblGrid>
            <w:gridCol w:w="7427.5"/>
            <w:gridCol w:w="7427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COMPETENZE CHIAVE PER L’APPRENDIMENTO PERMANENTE Raccomandazione sulle competenze chiave per l’apprendimento permanente del 22 maggio 2018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competenza alfabetica funzionale; competenza multilinguistica; competenza matematica e competenza in scienze, tecnologie e ingegneria; competenza digitale; competenza personale, sociale e capacità di imparare ad imparare; competenza in materia di cittadinanza; competenza imprenditoriale; competenza in materia di consapevolezza ed espressione culturali.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TRAGUARDI DI COMPETENZE ATTESI SPECIFICI DELL’INDIRIZZO LSS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- utilizzare criticamente conoscenze e metodi propri delle scienze matematiche, fisiche e naturali nonché dell'economia e del diritto per svolgere attività di studio e di approfondimento, per fare ricerca e per comunicare, in particolare in ambito tecnico scientifico e tecnologico applicato allo sport;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- utilizzare gli strumenti e le metodologie dell'informatica in ambito sportivo nell'analisi dei dati, nella formalizzazione e modellizzazione dei processi complessi e nell'individuazione di procedimenti risolutivi;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- utilizzare le strutture logiche, i modelli e i metodi della ricerca scientifica, e gli apporti dello sviluppo tecnologico, per individuare e risolvere problemi fisico-motori e sportivi di varia natura, anche in riferimento alla dimensione quotidiana della vita;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- sviluppare le conoscenze, le abilità e le competenze necessarie per individuare le interazioni tra le diverse forme del sapere, l'attività motoria e sportiva e la cultura propria dello sport, assicurando la padronanza dei linguaggi, delle tecniche e delle metodologie relative;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- applicare consapevolmente concetti, principi e teorie scientifiche nelle attività laboratoriali e sperimentali, nello studio e nella ricerca scientifica, padroneggiando vari linguaggi (corporeo-motori, storico-sociali, naturali, simbolici, matematici, logici, formali, artificiali);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- utilizzare i procedimenti argomentativi e dimostrativi della logica e della matematica,padroneggiando anche gli strumenti del Problem Posing e Solving.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COMPETENZE DISCIPLINARI ATTESE  LSS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Qui vanno inseriti degli indicatori di competenza desunte dalle competenze disciplinari che sono suddivise per ambiti 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Es. Lettere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ambito linguistico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…….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ambito letterario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……………..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ambito …….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Programmazione dettagliata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gli obiettivi specifici di apprendimento da desumere dal 1 o 2 biennio e 5° anno a seconda del caso e articolare </w:t>
        <w:tab/>
        <w:tab/>
        <w:tab/>
        <w:tab/>
        <w:tab/>
        <w:tab/>
        <w:tab/>
        <w:t xml:space="preserve">in conoscenze e abilità</w:t>
      </w:r>
      <w:r w:rsidDel="00000000" w:rsidR="00000000" w:rsidRPr="00000000">
        <w:rPr>
          <w:rtl w:val="0"/>
        </w:rPr>
      </w:r>
    </w:p>
    <w:tbl>
      <w:tblPr>
        <w:tblStyle w:val="Table2"/>
        <w:tblW w:w="1362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565"/>
        <w:gridCol w:w="2370"/>
        <w:gridCol w:w="4155"/>
        <w:gridCol w:w="4530"/>
        <w:tblGridChange w:id="0">
          <w:tblGrid>
            <w:gridCol w:w="2565"/>
            <w:gridCol w:w="2370"/>
            <w:gridCol w:w="4155"/>
            <w:gridCol w:w="453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PERCORSO DIDATTICO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TEMPI DI ATTUAZIONE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CONOSCENZE/CONTENUTI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ABILITA’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MODULO 1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(titolo)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MODULO 2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(titolo)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Educazione civica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vedi UDA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666666666667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MODULO DI ORIENTAMENTO 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FORMATIVO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 ore ad alunno/classe _________</w:t>
            </w:r>
          </w:p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 periodo di attuazione</w:t>
            </w:r>
          </w:p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 </w:t>
            </w:r>
          </w:p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 dell’attività e dei contenuti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metodologia orientativa applicata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60" w:lineRule="auto"/>
              <w:rPr>
                <w:color w:val="ff0000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ESEMPI: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UDA/Moduli didattici in modalità simulata;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compiti di realtà che coinvolgono il territorio e le imprese;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preparazione a selezioni accesso universitario;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laboratori di preparazione a gare e olimpiadi;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laboratori 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peer to peer</w:t>
            </w:r>
            <w:r w:rsidDel="00000000" w:rsidR="00000000" w:rsidRPr="00000000">
              <w:rPr>
                <w:color w:val="ff0000"/>
                <w:rtl w:val="0"/>
              </w:rPr>
              <w:t xml:space="preserve"> per conoscere singoli indirizzi di studio o facoltà universitarie;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lezione fenomenica;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progetti di conoscenza di una specifica professione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"/>
              </w:numPr>
              <w:spacing w:after="6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…….(altro vedasi metodologie indicate sotto)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Metodologia didattica e strumenti di supporto (relativamente ai moduli didattici disciplinari)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(flaggare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le metodologie e gli strumenti</w:t>
      </w: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 non utilizzati)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Lezione frontale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Lezione dialogata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Lezione partecipata con esperto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Attività laboratoriale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Attività individuale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Lavoro di gruppo (Peer education / Cooperative learning)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Flipped classroom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DDI  (attività asincrone e sincrone) mediante utilizzo del RE e piattaforma Workspace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Studi di caso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Problem solving (soluzione di problemi reali)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Gioco di ruolo, debate, Role playing (drammatizzazione)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Attività di comprensione e decodifica</w:t>
      </w:r>
    </w:p>
    <w:p w:rsidR="00000000" w:rsidDel="00000000" w:rsidP="00000000" w:rsidRDefault="00000000" w:rsidRPr="00000000" w14:paraId="0000007B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Monitor touch/Registro Didup/ piattaforma Workspace for education 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libro di testo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dispense e/o materiale autoprodotto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mediatori didattici: mappe cognitive e/o concettuali/ schemi sinottici</w:t>
      </w:r>
      <w:r w:rsidDel="00000000" w:rsidR="00000000" w:rsidRPr="00000000">
        <w:rPr>
          <w:sz w:val="24"/>
          <w:szCs w:val="24"/>
          <w:rtl w:val="0"/>
        </w:rPr>
        <w:t xml:space="preserve"> e/o </w:t>
      </w:r>
      <w:r w:rsidDel="00000000" w:rsidR="00000000" w:rsidRPr="00000000">
        <w:rPr>
          <w:i w:val="1"/>
          <w:sz w:val="24"/>
          <w:szCs w:val="24"/>
          <w:rtl w:val="0"/>
        </w:rPr>
        <w:t xml:space="preserve">ragionati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di manuali, riviste, statistiche, grafici, tabelle, carte tematiche  e altri supporti anche in formato digitale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software didattici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programmi digitali (ppt, publisher, app…)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di documenti originali (saggi, testi letterari/scientifici/giuridici/giornalistici/storici, codici, filmati…)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Approfondimento mediante esperto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Approfondimento mediante uscite didattiche, PCTO, viaggi d'istruzione, scambi/stage/campus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Altro (specificare) ____________________________________________________</w:t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Tipologia di verifica (relativamente ai moduli didattici disciplinari)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(flaggare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le tipologie</w:t>
      </w: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 non utilizzate)</w:t>
      </w:r>
    </w:p>
    <w:p w:rsidR="00000000" w:rsidDel="00000000" w:rsidP="00000000" w:rsidRDefault="00000000" w:rsidRPr="00000000" w14:paraId="0000008A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Autovalutazione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Osservazione sistematica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Verifica sommativa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Verifica formativa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Verifica diagnostica</w:t>
      </w:r>
      <w:r w:rsidDel="00000000" w:rsidR="00000000" w:rsidRPr="00000000">
        <w:rPr>
          <w:sz w:val="24"/>
          <w:szCs w:val="24"/>
          <w:rtl w:val="0"/>
        </w:rPr>
        <w:t xml:space="preserve"> (prove di ingresso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similia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scritta (prova tradizionale, questionario/test a risposta chiusa/aperta/libera, saggio breve, articolo, quesiti, relazione, esercizi, problemi,  ppt, canva, ect….)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orale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pratica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grafica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pratica di laboratorio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scritto-grafica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Relazioni di laboratorio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Altro (specificare) ____________________________________</w:t>
      </w:r>
    </w:p>
    <w:p w:rsidR="00000000" w:rsidDel="00000000" w:rsidP="00000000" w:rsidRDefault="00000000" w:rsidRPr="00000000" w14:paraId="0000009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9132"/>
        </w:tabs>
        <w:spacing w:before="120" w:lineRule="auto"/>
        <w:ind w:left="36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Criteri e strumenti di valutazione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applicano i </w:t>
      </w:r>
      <w:r w:rsidDel="00000000" w:rsidR="00000000" w:rsidRPr="00000000">
        <w:rPr>
          <w:b w:val="1"/>
          <w:sz w:val="24"/>
          <w:szCs w:val="24"/>
          <w:rtl w:val="0"/>
        </w:rPr>
        <w:t xml:space="preserve">Criteri comuni di valutazione</w:t>
      </w:r>
      <w:r w:rsidDel="00000000" w:rsidR="00000000" w:rsidRPr="00000000">
        <w:rPr>
          <w:sz w:val="24"/>
          <w:szCs w:val="24"/>
          <w:rtl w:val="0"/>
        </w:rPr>
        <w:t xml:space="preserve"> per i quali si rimanda al documento allegato al PTOF, sezione Offerta Formativa, sottosezione valutazione degli apprendimenti, dettagli, ed alla </w:t>
      </w:r>
      <w:r w:rsidDel="00000000" w:rsidR="00000000" w:rsidRPr="00000000">
        <w:rPr>
          <w:b w:val="1"/>
          <w:sz w:val="24"/>
          <w:szCs w:val="24"/>
          <w:rtl w:val="0"/>
        </w:rPr>
        <w:t xml:space="preserve">Tabella di corrispondenza voto-descrittori </w:t>
      </w:r>
      <w:r w:rsidDel="00000000" w:rsidR="00000000" w:rsidRPr="00000000">
        <w:rPr>
          <w:sz w:val="24"/>
          <w:szCs w:val="24"/>
          <w:rtl w:val="0"/>
        </w:rPr>
        <w:t xml:space="preserve">allegata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72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si fa ricorso alle Griglie di valutazione allegate alla Programmazione di Dipartimento </w:t>
      </w:r>
    </w:p>
    <w:p w:rsidR="00000000" w:rsidDel="00000000" w:rsidP="00000000" w:rsidRDefault="00000000" w:rsidRPr="00000000" w14:paraId="0000009C">
      <w:pPr>
        <w:tabs>
          <w:tab w:val="left" w:leader="none" w:pos="9132"/>
        </w:tabs>
        <w:spacing w:before="120" w:lineRule="auto"/>
        <w:ind w:left="36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216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EDUCAZIONE CIVICA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0" w:line="240" w:lineRule="auto"/>
        <w:ind w:left="0" w:right="0" w:firstLine="0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concordata con il consiglio di classe nella programmazione educativo-didattica di inizio anno e riferita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al Curricolo verticale per l’insegnamento trasversale di educazione civica d’Istituto che esplicita i nuclei fondamentali di apprendimento per il quale si rimanda al Sito web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UDA (titolo)____________________________________________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3916.666666666666"/>
        <w:gridCol w:w="3868.333333333334"/>
        <w:gridCol w:w="2535"/>
        <w:gridCol w:w="1440"/>
        <w:tblGridChange w:id="0">
          <w:tblGrid>
            <w:gridCol w:w="3075"/>
            <w:gridCol w:w="3916.666666666666"/>
            <w:gridCol w:w="3868.333333333334"/>
            <w:gridCol w:w="2535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competenze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riportare dal Curricolo della classe le  competenze attese per il nucleo corrispondente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conoscenze/contenuti </w:t>
            </w:r>
          </w:p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riportare dal Curricolo della classe le  conoscenze e i contenuti previsti per il nucleo corrispondente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trasversalità con le discipline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ore certificabili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Modulo 1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(riportare il riferimento al nucleo es. 2. AGENDA 2030 E SVILUPPO SOSTENIBILE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Modulo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32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metodologie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24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397"/>
        <w:gridCol w:w="457"/>
        <w:tblGridChange w:id="0">
          <w:tblGrid>
            <w:gridCol w:w="9397"/>
            <w:gridCol w:w="457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Lezione frontale/ dialogata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Impostazione laboratoriale delle lezioni in 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Approccio pluridisciplinare (compresenza)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 induttivo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Studi di caso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Soluzione di problemi reali - problem solving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Gioco di ruolo/Role playing / Debate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Flipped classroom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Peer education / Cooperative learning (in piccoli gruppi)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PCTO - project work (secondo biennio e classe quinta)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Processi di apprendimento individualizzati/personalizzati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  <w:rtl w:val="0"/>
              </w:rPr>
              <w:t xml:space="preserve">E-learning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Attività di  ascolto in lingua straniera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  <w:rtl w:val="0"/>
              </w:rPr>
              <w:t xml:space="preserve">Altro (specificare):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Strumenti e spazi a supporto delle metodologie indicate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5"/>
        <w:tblW w:w="9854.0" w:type="dxa"/>
        <w:jc w:val="left"/>
        <w:tblInd w:w="24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397"/>
        <w:gridCol w:w="457"/>
        <w:tblGridChange w:id="0">
          <w:tblGrid>
            <w:gridCol w:w="9397"/>
            <w:gridCol w:w="457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Libro di testo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Documenti originali(saggi divulgativi, testi letterari / scientifici / giornalistici / giuridici, storici, codici, ecc.)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Filmati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Programmi multimediali (ppt, publisher, app)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Software didattici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Statistiche / grafici / tabelle /carte tematiche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Mediatori didattici: schemi / mappe concettuali, ecc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Interventi di esperti esterni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Monitor touch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Ricerca guidata dal docente su siti Web selezionati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for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Registro Argo didup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Visite guidate (PCTO)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Materiale autoprodotto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  <w:rtl w:val="0"/>
              </w:rPr>
              <w:t xml:space="preserve">Altro (specificare):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216" w:right="0" w:hanging="216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701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Tipologie e modalità di verifica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701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Specificare tipologie e modalità delle verifiche previste, tenuto conto delle norme vigenti e di quanto deliberato dal Collegio dei docenti e dal Dipartimento di appartenenza)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318.0" w:type="dxa"/>
        <w:jc w:val="left"/>
        <w:tblInd w:w="24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800"/>
        <w:gridCol w:w="569"/>
        <w:gridCol w:w="5949"/>
        <w:tblGridChange w:id="0">
          <w:tblGrid>
            <w:gridCol w:w="1800"/>
            <w:gridCol w:w="569"/>
            <w:gridCol w:w="5949"/>
          </w:tblGrid>
        </w:tblGridChange>
      </w:tblGrid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e modalità 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Colloqui in presenza e/o in videoconferenza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Lezioni dialogate / interventi guidati degli studenti in presenza e/o in videoconferenza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Presentazioni (anche multimediali) e dibattiti PPT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Simulazione colloquio  esame di Stato in presenza o in videoconferenza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(specificare):</w:t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scritte individuali: relazione – report /saggio breve / articolo di giornale / tema tradizionale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strutturate / semistrutturate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Risoluzione di casi / problemi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scritte di gruppo (relazioni, ricerche guidate etc…)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multidisciplinare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Simulazione prove scritte esame di Stato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(specificare):</w:t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Altri tipi di verifica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Produzione di materiali didattici da parte degli studenti (individualmente o in gruppo) PPT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Relazioni in seguito a conferenze / visite, ecc.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riferite alle attività di PCTO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(specificare):</w:t>
            </w:r>
          </w:p>
        </w:tc>
      </w:tr>
    </w:tbl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12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32"/>
        </w:tabs>
        <w:spacing w:after="0" w:before="120" w:line="240" w:lineRule="auto"/>
        <w:ind w:left="360" w:right="0" w:firstLine="0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Criteri e strumenti di valutazione</w:t>
      </w:r>
    </w:p>
    <w:p w:rsidR="00000000" w:rsidDel="00000000" w:rsidP="00000000" w:rsidRDefault="00000000" w:rsidRPr="00000000" w14:paraId="00000141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 applicano i criteri di valutazione per l’educazione civica per i quali si rimanda al documento allegato al PTOF, sezione Offerta Formativa, sottosezione valutazione degli apprendimenti, dettagli, </w:t>
      </w:r>
      <w:r w:rsidDel="00000000" w:rsidR="00000000" w:rsidRPr="00000000">
        <w:rPr>
          <w:b w:val="1"/>
          <w:color w:val="212121"/>
          <w:sz w:val="22"/>
          <w:szCs w:val="22"/>
          <w:highlight w:val="white"/>
          <w:rtl w:val="0"/>
        </w:rPr>
        <w:t xml:space="preserve">Criteri di valutazione dell'insegnamento trasversale di educazione civica </w:t>
      </w:r>
      <w:r w:rsidDel="00000000" w:rsidR="00000000" w:rsidRPr="00000000">
        <w:rPr>
          <w:color w:val="212121"/>
          <w:sz w:val="22"/>
          <w:szCs w:val="22"/>
          <w:highlight w:val="white"/>
          <w:rtl w:val="0"/>
        </w:rPr>
        <w:t xml:space="preserve">e alla </w:t>
      </w:r>
      <w:r w:rsidDel="00000000" w:rsidR="00000000" w:rsidRPr="00000000">
        <w:rPr>
          <w:b w:val="1"/>
          <w:color w:val="212121"/>
          <w:sz w:val="22"/>
          <w:szCs w:val="22"/>
          <w:highlight w:val="white"/>
          <w:rtl w:val="0"/>
        </w:rPr>
        <w:t xml:space="preserve">Tabella di valutazione per l’educazione civica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720" w:hanging="360"/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highlight w:val="yellow"/>
          <w:rtl w:val="0"/>
        </w:rPr>
        <w:t xml:space="preserve">si fa ricorso alle Griglie di valutazione allegate alla Programmazione di Dipartimento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32"/>
        </w:tabs>
        <w:spacing w:after="0" w:before="120" w:line="240" w:lineRule="auto"/>
        <w:ind w:left="360" w:right="0" w:firstLine="0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480" w:lineRule="auto"/>
        <w:ind w:left="426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Luogo e data</w:t>
        <w:tab/>
        <w:tab/>
        <w:tab/>
        <w:tab/>
        <w:tab/>
        <w:tab/>
        <w:tab/>
        <w:tab/>
        <w:tab/>
        <w:tab/>
        <w:t xml:space="preserve">Nome cognome del docente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480" w:lineRule="auto"/>
        <w:ind w:left="426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…………………………………….     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…………………………………………...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3.8582677165355" w:top="566.9291338582677" w:left="1133.8582677165355" w:right="850.3937007874016" w:header="708" w:footer="4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ernhardTang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639.0" w:type="dxa"/>
      <w:jc w:val="center"/>
      <w:tblLayout w:type="fixed"/>
      <w:tblLook w:val="00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1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9460" cy="802640"/>
                <wp:effectExtent b="0" l="0" r="0" 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802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4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LICEO STATALE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4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94360" cy="636905"/>
                <wp:effectExtent b="0" l="0" r="0" t="0"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15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1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pict>
              <v:rect style="width:0.0pt;height:1.5pt" o:hr="t" o:hrstd="t" o:hralign="center" fillcolor="#A0A0A0" stroked="f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rFonts w:ascii="Times New Roman" w:eastAsia="Times New Roman" w:hAnsi="Times New Roman"/>
      <w:b w:val="1"/>
      <w:bCs w:val="1"/>
      <w:w w:val="100"/>
      <w:position w:val="-1"/>
      <w:sz w:val="22"/>
      <w:szCs w:val="20"/>
      <w:effect w:val="none"/>
      <w:vertAlign w:val="baseline"/>
      <w:cs w:val="0"/>
      <w:em w:val="none"/>
      <w:lang w:bidi="he-IL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Calibri" w:cs="Times New Roman" w:hAnsi="Calibri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und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character" w:styleId="Nessuno">
    <w:name w:val="Nessuno"/>
    <w:next w:val="Nessun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agrafoelenco1">
    <w:name w:val="Paragrafo elenco1"/>
    <w:next w:val="Paragrafoelenco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numbering" w:styleId="Stileimportato1">
    <w:name w:val="Stile importato 1"/>
    <w:next w:val="Stileimportato1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Stileimportato2">
    <w:name w:val="Stile importato 2"/>
    <w:next w:val="Stileimportato2"/>
    <w:autoRedefine w:val="0"/>
    <w:hidden w:val="0"/>
    <w:qFormat w:val="0"/>
    <w:pPr>
      <w:numPr>
        <w:ilvl w:val="0"/>
        <w:numId w:val="1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apple-tab-span">
    <w:name w:val="apple-tab-span"/>
    <w:basedOn w:val="Car.predefinitoparagrafo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 w:bidi="ar-SA" w:eastAsia="und" w:val="und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/>
    </w:rPr>
  </w:style>
  <w:style w:type="paragraph" w:styleId="CorpoA">
    <w:name w:val="Corpo A"/>
    <w:next w:val="CorpoA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eastAsia="Arial Unicode MS" w:hAnsi="Helvetica Neue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paragraph" w:styleId="Corpo">
    <w:name w:val="Corpo"/>
    <w:next w:val="Corp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Arial Unicode MS" w:hAnsi="Times New Roman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numbering" w:styleId="Stileimportato3">
    <w:name w:val="Stile importato 3"/>
    <w:next w:val="Stileimportato3"/>
    <w:autoRedefine w:val="0"/>
    <w:hidden w:val="0"/>
    <w:qFormat w:val="0"/>
    <w:pPr>
      <w:numPr>
        <w:ilvl w:val="0"/>
        <w:numId w:val="7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idefault">
    <w:name w:val="Di default"/>
    <w:next w:val="Didefault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eastAsia="Arial Unicode MS" w:hAnsi="Helvetica Neue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effect w:val="none"/>
      <w:vertAlign w:val="baseline"/>
      <w:cs w:val="0"/>
      <w:em w:val="none"/>
      <w:lang w:bidi="he-IL"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stonormaleCarattere">
    <w:name w:val="Testo normale Carattere"/>
    <w:next w:val="TestonormaleCarattere"/>
    <w:autoRedefine w:val="0"/>
    <w:hidden w:val="0"/>
    <w:qFormat w:val="0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raLC9tiAE2UlsxvyUbBRu1+/g==">CgMxLjA4AHIhMTEzQUcyZi1EdXpNeVNqbTd2MEdFSkhma1NEdkhya3p3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2022-10-04T07:51:00Z</dcterms:created>
  <dc:creator>Stefano Gori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